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534. “分手了，猫归谁”——宠物在分手、离婚中的归属与情感消费研究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研究对象：经历分手/离婚需处理宠物归属的年轻宠物主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核心问题/变量：宠物情感投入认知、归属协商与"抚养权"争夺、共同抚养安排、宠物心理安抚消费、法律与咨询需求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情感投入认知、归属协商与"抚养权"争夺（法律与咨询需求）之间存在可检验的关系，且受群体差异（年龄/收入/地区/身份）调节（待验证）；H2：宠物情感投入认知、归属协商与"抚养权"争夺是影响法律与咨询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🔶宠物归属纠纷案例报道（媒体须下载核验）；✅民法典宠物归属相关司法实践（法院案例）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情感/宠物社群问卷+律师咨询；视角新颖独特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🔶宠物归属纠纷案例报道（媒体须下载核验）；✅民法典宠物归属相关司法实践（法院案例）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