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614. “宠物慢病管理，毛孩的长期处方”——宠物慢性病管理需求与处方消费调查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研究对象：宠物患慢性病的宠物主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核心问题/变量：宠物慢病类型分布、定期复查频次、处方粮/药品消费、费用负担（月均）、宠物医保衔接、生活质量权衡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H1：宠物慢病类型分布、定期复查频次显著影响生活质量权衡（待验证）；H2：不同人群（年龄/收入/城市等级）在上述关系中存在调节作用（待验证）。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🔶宠物医疗市场数据（行业报告须下载核验）；✅动物诊疗管理办法（农业农村部）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宠物医院渠道问卷+兽医访谈；获奖黑名单核对：近三年无宠物慢病获奖题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🔶宠物医疗市场数据（行业报告须下载核验）；✅动物诊疗管理办法（农业农村部）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