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696. “宠物医疗险，值不值得”——宠物医疗保险购买与理赔体验研究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研究对象：购买宠物医疗险的宠物主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核心问题/变量：宠物险购买动机（看病贵）、保费与保额、理赔流程（在线/定点医院）、免赔额感知、续保意愿、行业信任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H1：宠物险购买动机（看病贵）、保费与保额显著影响行业信任（待验证）；H2：不同人群（年龄/收入/城市等级）在上述关系中存在调节作用（待验证）。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🔶宠物险市场数据（行业报告须下载核验）；✅宠物诊疗管理办法（农业农村部）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宠物医院渠道+宠物险平台问卷；获奖黑名单核对：近三年无宠物医疗险获奖题（区别于127宠物保险泛类）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🔶宠物险市场数据（行业报告须下载核验）；✅宠物诊疗管理办法（农业农村部）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