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917. “宠物采耳、刷牙，精细护理”——宠物主对精细化护理服务（刷牙、采耳）的消费行为及复购意愿调查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研究对象：为宠物购买精细护理服务（刷牙/洁耳/SPA）的宠物主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核心问题/变量：宠物口腔健康认知、精细护理服务消费（单次50-300）、上门vs到店、宠物应激处理、护理频率、复购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H1：宠物口腔健康认知、精细护理服务消费（单次50-300）显著影响复购（待验证）；H2：不同人群（年龄/收入/城市等级）在上述关系中存在调节作用（待验证）。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🔶宠物护理服务规范（地方条例）；🔶宠物服务市场数据（行业报告须下载核验）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宠物店渠道+宠物主问卷；获奖黑名单核对：近三年无宠物精细护理获奖题（区别于287宠物美容泛题）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🔶宠物护理服务规范（地方条例）；🔶宠物服务市场数据（行业报告须下载核验）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