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1003. “脑机接口，意念打字”——脑机接口康复应用公众需求与接受度调查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研究对象：关注脑机接口（医疗/康复场景）的公众、患者家庭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核心问题/变量：脑机接口认知（意念控制假肢/打字）、临床前景信任、伦理顾虑（读取思维）、启用意愿、国产化感知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脑机接口认知（意念控制假肢/打字）、临床前景信任（国产化感知）之间存在可检验的关系，且受群体差异（年龄/收入/地区/身份）调节（待验证）；H2：脑机接口认知（意念控制假肢/打字）、临床前景信任是影响国产化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🔶脑机接口临床与产业政策（工信部、卫健委）；🔶脑机接口试验报道（须下载核验）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公众问卷+脑机企业/医院访谈；获奖黑名单核对：近三年无脑机接口获奖题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🔶脑机接口临床与产业政策（工信部、卫健委）；🔶脑机接口试验报道（须下载核验）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