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100. “机器萌宠，数字陪伴”——AI 机器宠物（电子宠物）消费意愿与陪伴效果研究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研究对象：对机器宠物（仿生宠物狗/电子宠物）感兴趣或有养宠替代需求的消费者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核心问题/变量：陪伴动机（过敏/租房/成本/孤独）、拟人化感知、情感联结、购买与复购意愿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H1：陪伴动机（过敏/租房/成本/孤独）、拟人化感知显著影响购买与复购意愿（待验证）；H2：不同人群（年龄/收入/城市等级）在上述关系中存在调节作用（待验证）。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🔶索尼Aibo等机器宠物为成熟品类（海外案例）；✅2024年城镇犬猫超2.2亿只、宠物经济扩容（宠物殡葬检索引述）；🔶国内仿生宠物产品陆续上市（媒体线索，需核实）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线上宠物/独居青年社群渠道；与真宠物消费形成对照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🔶索尼Aibo等机器宠物为成熟品类（海外案例）；✅2024年城镇犬猫超2.2亿只、宠物经济扩容（宠物殡葬检索引述）；🔶国内仿生宠物产品陆续上市（媒体线索，需核实）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