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101. “数字永生，记忆延续”——AI 数字分身、纪念类服务接受度与伦理认知研究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研究对象：了解或接触过 AI 数字分身/逝者复原服务的 18—50 岁人群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核心问题/变量：认知度、情感诉求（思念/疗愈）、伦理顾虑（隐私/真假边界）、付费意愿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H1：认知度、情感诉求（思念/疗愈）显著影响付费意愿（待验证）；H2：不同人群（年龄/收入/城市等级）在上述关系中存在调节作用（待验证）。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🔶AI"数字永生"/数字分身服务商业化案例（媒体报道，需引具体公司案例）；🔶Replika等AI伴侣研究文献可支撑情感连接理论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生死教育/殡葬行业访谈+线上问卷；伦理争议话题自带讨论度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🔶AI"数字永生"/数字分身服务商业化案例（媒体报道，需引具体公司案例）；🔶Replika等AI伴侣研究文献可支撑情感连接理论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