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010. “新质生产，谁来买单”——中小企业对智能制造服务的采购意愿及影响因素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选题规范化（呆塔大师兄（微信：a237658765））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项目类型：社会调查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研究阶段：mid（中期：消费意愿及影响因素）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确定行业：03_人工智能与数字科技（选择理由：贴合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研究对象：制造业中小企业负责人和技术负责人。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核心问题/变量：数字化基础、投资回报预期、技术供应商信任、人才缺口、采购意愿。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H1：数字化基础、投资回报预期（采购意愿。）之间存在可检验的关系，且受群体差异（年龄/收入/地区/身份）调节（待验证）；H2：数字化基础、投资回报预期是影响采购意愿。的关键因素（待验证）。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S4，[中国政府网最新政策](https://www.gov.cn/zhengce/zuixin/)，其中列有新质生产力相关政策。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工业园区、产业园和商会调查。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S4，[中国政府网最新政策](https://www.gov.cn/zhengce/zuixin/)，其中列有新质生产力相关政策。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