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116. “数字斋戒，无手机日”——青年数字戒断参与意愿与心理收益评价研究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研究对象：参与过或有意愿尝试数字戒断（无手机日/息屏）的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核心问题/变量：手机依赖度、戒断动机、体验后心理收益（专注/睡眠/社交）、复戒断意愿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H1：手机依赖度、戒断动机（复戒断意愿）之间存在可检验的关系，且受群体差异（年龄/收入/地区/身份）调节（待验证）；H2：手机依赖度、戒断动机是影响复戒断意愿的关键因素（待验证）。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✅教育部鼓励"息屏行动"（2025年政策重申）；🔶"数字斋戒"/无手机日全球风潮（媒体报道+学术研究）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高校/职场青年渠道+正念类社群；可结合Screen Time数据自评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✅教育部鼓励"息屏行动"（2025年政策重申）；🔶"数字斋戒"/无手机日全球风潮（媒体报道+学术研究）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