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1177. “AI 照片骗局，视频通话验真”——AI合成视频诈骗风险认知与防范行为调查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研究对象：遭遇/防范AI合成视频（换脸视频通话）诈骗的公众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核心问题/变量：AI诈骗新手段（视频通话换脸/声音克隆）、识别能力（眨眼/细节）、诈骗金额、防骗措施（暗号/多通道验证）、平台责任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诈骗新手段（视频通话换脸/声音克隆）、识别能力（眨眼/细节）（平台责任）之间存在可检验的关系，且受群体差异（年龄/收入/地区/身份）调节（待验证）；H2：AI诈骗新手段（视频通话换脸/声音克隆）、识别能力（眨眼/细节）是影响平台责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🔶深度伪造治理与反诈规定（公安部、网信办）；🔶AI诈骗案例数据（须下载核验）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公众问卷+公安反诈访谈；获奖黑名单核对：近三年无AI视频诈骗获奖题（区别于901 AI换脸治理，聚焦诈骗场景与验证手段）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🔶深度伪造治理与反诈规定（公安部、网信办）；🔶AI诈骗案例数据（须下载核验）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