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1395. “AI 合规审查，数字法务官”——企业法务AI审查工具使用需求与准确性信任调查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研究对象：使用AI法律工具（合同审阅/合规检查）的企业法务与律所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核心问题/变量：AI合同审查（风险条款）、合规检查（新法速查）、效率提升与替代（初级律师）、准确性（幻觉风险）、律师态度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合同审查（风险条款）、合规检查（新法速查）（律师态度）之间存在可检验的关系，且受群体差异（年龄/收入/地区/身份）调节（待验证）；H2：AI合同审查（风险条款）、合规检查（新法速查）是影响律师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🔶法律科技与AI司法应用政策（最高法、司法部）；🔶法律AI市场数据（须下载核验）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法务/律所问卷+法律科技企业访谈；获奖黑名单核对：近三年无AI法律科技获奖题（区别于267 AI律所泛题，聚焦合同合规细分）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🔶法律科技与AI司法应用政策（最高法、司法部）；🔶法律AI市场数据（须下载核验）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