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020. “内容生成，安全先行”——网络消费者对 AI 生成内容标识接受度与真实性判断研究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研究对象：18—45 岁网络内容消费者。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 内容识别能力、平台信任、标识接受度、虚假信息担忧、分享意愿。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 内容识别能力、平台信任显著影响分享意愿。（待验证）；H2：不同人群（年龄/收入/城市等级）在上述关系中存在调节作用（待验证）。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S7，2026 年互联网及 AI 大模型内容风控研究报告。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使用图片、短视频或新闻标题进行情景实验。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S7，2026 年互联网及 AI 大模型内容风控研究报告。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