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294. “AI绘画，副业真相”——AI绘画创作者的变现意愿与版权认知调查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研究对象：尝试AI绘画接单/创作的创作者（含副业人群）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核心问题/变量：创作工具、接单渠道、收入区间、竞争感知（价格内卷）、版权认知、持续意愿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H1：创作工具、接单渠道显著影响持续意愿（待验证）；H2：不同人群（年龄/收入/城市等级）在上述关系中存在调节作用（待验证）。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✅中国AI绘画市场规模预计达154亿元（全球破870亿美元）；✅超六成接单者2026上半年月收入不足800元、单价从500元卷到50元（媒体🔶）；✅生成式AI用户5.15亿（CNNIC，第二批已核验）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AI绘画社群/自媒体创作渠道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✅中国AI绘画市场规模预计达154亿元（全球破870亿美元）；✅超六成接单者2026上半年月收入不足800元、单价从500元卷到50元（媒体🔶）；✅生成式AI用户5.15亿（CNNIC，第二批已核验）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