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323. “信息茧房，谁在看穿”——算法推荐“信息茧房”用户感知与调整意愿研究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研究对象：重度使用短视频/资讯App的 18—45 岁用户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核心问题/变量：内容同质化感知、茧房认同、关闭个性化推荐意愿、"不感兴趣"使用、获取异质信息行为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内容同质化感知、茧房认同（获取异质信息行为）之间存在可检验的关系，且受群体差异（年龄/收入/地区/身份）调节（待验证）；H2：内容同质化感知、茧房认同是影响获取异质信息行为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🔶信息茧房研究（学术文献）；✅算法推荐管理规定（网信办《互联网信息服务算法推荐管理规定》）；✅AI生成内容标识新规（第一批20题衔接）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短视频用户线上问卷；评委关注社会认知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🔶信息茧房研究（学术文献）；✅算法推荐管理规定（网信办《互联网信息服务算法推荐管理规定》）；✅AI生成内容标识新规（第一批20题衔接）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