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324. “数字遗产，谁来继承”——数字遗产（账号、虚拟财产）处理意愿与政策需求研究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研究对象：18—40岁有网络资产（社交账号/游戏账号/数字藏品）的网民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核心问题/变量：数字资产类型、死后处置意愿（封存/继承/删除）、平台规则知晓、立法期待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H1：数字资产类型、死后处置意愿（封存/继承/删除）显著影响立法期待（待验证）；H2：不同人群（年龄/收入/城市等级）在上述关系中存在调节作用（待验证）。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🔶数字遗产案例（媒体报道"逝者账号继承"）；✅《民法典》虚拟财产规定（第127条）；✅平台账号继承规则差异（媒体对比🔶）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线上问卷+社交平台用户访谈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🔶数字遗产案例（媒体报道"逝者账号继承"）；✅《民法典》虚拟财产规定（第127条）；✅平台账号继承规则差异（媒体对比🔶）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