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392. “人形机器人，进厂打工人”——制造业人形机器人上岗接受度与技能转型意愿研究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研究对象：制造业从业者、企业主/管理者及关注 AI 就业的公众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核心问题/变量：人形机器人（宇树、优必选类）上岗接受度、岗位替代担忧、技能转型意愿、企业采购意愿、人机协作满意度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人形机器人（宇树、优必选类）上岗接受度（人机协作满意度）之间存在可检验的关系，且受群体差异（年龄/收入/地区/身份）调节（待验证）；H2：人形机器人（宇树、优必选类）上岗接受度是影响人机协作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✅人形机器人产业发展政策（工信部等部委文件）；✅头部企业进厂应用案例（权威媒体）；🔶产业规模预测（行业报告须下载核验）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制造业集群企业访谈+从业者问卷；与099（家用机器人）区分：聚焦工厂场景与就业冲击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✅人形机器人产业发展政策（工信部等部委文件）；✅头部企业进厂应用案例（权威媒体）；🔶产业规模预测（行业报告须下载核验）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