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042. “AI 创作，副业新潮”——青年 AIGC 创作工具使用满意度与持续创作意愿研究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 岁尝试 AI 绘画/写作/短视频创作的青年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核心问题/变量：创作动机、工具满意度、投入时间、变现意愿、持续创作意愿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H1：创作动机、工具满意度显著影响持续创作意愿（待验证）；H2：不同人群（年龄/收入/城市等级）在上述关系中存在调节作用（待验证）。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