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806. “AI 面试官，求职新关卡”——求职者AI面试体验感知与接受度研究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研究对象：参加过AI面试（视频/语音初筛）的求职者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核心问题/变量：AI面试体验（面无表情/时间限制）、公平性感知（算法评估）、紧张与不适、与真人面试对比、应对策略（背诵话术）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面试体验（面无表情/时间限制）、公平性感知（算法评估）（应对策略（背诵话术））之间存在可检验的关系，且受群体差异（年龄/收入/地区/身份）调节（待验证）；H2：AI面试体验（面无表情/时间限制）、公平性感知（算法评估）是影响应对策略（背诵话术）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🔶AI面试应用报道（科技媒体须下载核验）；✅算法推荐与就业公平政策（网信办、人社部）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求职社群问卷+HR与工具方访谈；获奖黑名单核对：近三年无AI面试获奖题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🔶AI面试应用报道（科技媒体须下载核验）；✅算法推荐与就业公平政策（网信办、人社部）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