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826. “AI 文物修复，让文物活起来”——公众对AI文物修复的认知与接受度研究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研究对象：关注AI修复文物（壁画/青铜器）新闻的公众与文博从业者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核心问题/变量：AI修复技术认知（精度/速度）、公众对AI修复的信任、数字化展示体验（线上文物）、AI与人工修复关系、伦理（过度复原）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修复技术认知（精度/速度）、公众对AI修复的信任（伦理（过度复原））之间存在可检验的关系，且受群体差异（年龄/收入/地区/身份）调节（待验证）；H2：AI修复技术认知（精度/速度）、公众对AI修复的信任是影响伦理（过度复原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🔶AI文物修复案例报道（央媒须下载核验）；✅文物科技保护政策（国家文物局）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博物馆渠道问卷+文保机构访谈；获奖黑名单核对：近三年无AI文物修复获奖题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🔶AI文物修复案例报道（央媒须下载核验）；✅文物科技保护政策（国家文物局）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