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901. “AI 换脸技术，真假难辨”——AI换脸（深度伪造）认知与治理研究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研究对象：接触AI换脸视频/AI语音诈骗（Deepfake）的网民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核心问题/变量：AI换脸技术知晓度、被换脸诈骗经历、鉴伪能力（可辨率）、对AI合成内容标识（水印）知晓、平台治理期待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换脸技术知晓度、被换脸诈骗经历（平台治理期待）之间存在可检验的关系，且受群体差异（年龄/收入/地区/身份）调节（待验证）；H2：AI换脸技术知晓度、被换脸诈骗经历是影响平台治理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🔶深度合成内容管理新规（网信办、公安部）；🔶AI换脸诈骗案例报道（须下载核验）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网民问卷+网安访谈；获奖黑名单核对：近三年无AI换脸获奖题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🔶深度合成内容管理新规（网信办、公安部）；🔶AI换脸诈骗案例报道（须下载核验）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