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098. “百镜大战，为何吃灰”——AI 眼镜尝鲜消费后的持续使用意愿与“吃灰”现象研究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研究对象：已购买 AI 眼镜并体验≥1个月的消费者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核心问题/变量：购买动机、使用频率场景、满意度、吃灰原因（功能鸡肋/重量/续航/隐私）、转推荐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H1：购买动机、使用频率场景显著影响转推荐（待验证）；H2：不同人群（年龄/收入/城市等级）在上述关系中存在调节作用（待验证）。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✅2026Q2中国智能眼镜出货同比-8%、音频类下滑35.4%、AR显示类+123%（同花顺金融网引 IDC）；🔶"AI眼镜卖得动戴不住"行业讨论（媒体评论）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数码社群定向问卷；反常识切入（卖得动、戴不住）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✅2026Q2中国智能眼镜出货同比-8%、音频类下滑35.4%、AR显示类+123%（同花顺金融网引 IDC）；🔶"AI眼镜卖得动戴不住"行业讨论（媒体评论）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