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099. “机器人管家，进家服务”——人形机器人家庭服务接受度与购买意愿研究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研究对象：对人形机器人家用化有认知的 25—55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核心问题/变量：功能期望（家务/陪护/安保）、价格接受、信任与安全顾虑、购买意愿、替代人工服务意愿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H1：功能期望（家务/陪护/安保）、价格接受显著影响替代人工服务意愿（待验证）；H2：不同人群（年龄/收入/城市等级）在上述关系中存在调节作用（待验证）。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DC：2026上半年全球人形机器人出货近2.5万台（+432.1%）、中国占77.9%、智元8600台领先（TechWeb）；✅当前出货集中于科研教育/展示（69%），家庭消费"刚出现苗头"；✅IDC预测2030年全球出货破75万台，家庭消费为多元驱动之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科技展/数码直播间渠道；议题前沿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IDC：2026上半年全球人形机器人出货近2.5万台（+432.1%）、中国占77.9%、智元8600台领先（TechWeb）；✅当前出货集中于科研教育/展示（69%），家庭消费"刚出现苗头"；✅IDC预测2030年全球出货破75万台，家庭消费为多元驱动之一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