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1046. “景区免门票，泼天流量”——免门票景区游客二次消费意愿与政策评价调查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研究对象：受益于景区免门票/低价门票政策的游客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核心问题/变量：免门票客流激增（人次）、二次消费替代（索道/餐饮）、游客体验（拥挤）、对周边民宿餐饮带动、门票政策评价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H1：免门票客流激增（人次）、二次消费替代（索道/餐饮）显著影响门票政策评价（待验证）；H2：不同人群（年龄/收入/城市等级）在上述关系中存在调节作用（待验证）。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🔶景区门票价格管理与转型政策（发改委、文旅部）；🔶免票景区数据（须下载核验）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免票景区实地问卷+文旅局访谈；获奖黑名单核对：近三年无免门票获奖题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🔶景区门票价格管理与转型政策（发改委、文旅部）；🔶免票景区数据（须下载核验）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