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108. “跟着悟空游山西”——游戏 IP 带动取景地文旅消费的游客动机与满意度研究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研究对象：因《黑神话：悟空》去过山西（或其他取景地）的游客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核心问题/变量：出游动机（游戏联动/古建文化/打卡）、消费支出、满意度、文创消费、重游意愿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H1：出游动机（游戏联动/古建文化/打卡）、消费支出显著影响重游意愿（待验证）；H2：不同人群（年龄/收入/城市等级）在上述关系中存在调节作用（待验证）。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球销量破3000万份（🔶行业口径）；✅山西独占27处取景地；✅"跟着悟空游山西"不到两个月27处景点接待536.92万人、门票收入1.66亿元（文旅部）；✅"山西旅游"资讯指数+3178%（百度指数）✅小西天五一游客+264.46%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山西古建景区（小西天/应县木塔等）现场+线上社群；现象级 IP 自带流量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球销量破3000万份（🔶行业口径）；✅山西独占27处取景地；✅"跟着悟空游山西"不到两个月27处景点接待536.92万人、门票收入1.66亿元（文旅部）；✅"山西旅游"资讯指数+3178%（百度指数）✅小西天五一游客+264.46%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