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109. “博物馆奇妙夜”——博物馆夜游消费需求与门票付费意愿研究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研究对象：参观过或期待博物馆夜场（夜游/夜宿/夜展）的城市居民与游客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核心问题/变量：夜游动机、项目偏好（夜展/演出/夜宿）、门票与体验付费意愿、满意度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H1：夜游动机、项目偏好（夜展/演出/夜宿）显著影响满意度（待验证）；H2：不同人群（年龄/收入/城市等级）在上述关系中存在调节作用（待验证）。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🔶多地博物馆推出夜游项目（上海/杭州等媒体报道，需引具体案例）；✅文旅消费扩容与"白天看展晚上看城"趋势（文旅部数据，🔶最新口径待核对）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博物馆公众号渠道+馆内现场问卷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🔶多地博物馆推出夜游项目（上海/杭州等媒体报道，需引具体案例）；✅文旅消费扩容与"白天看展晚上看城"趋势（文旅部数据，🔶最新口径待核对）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