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1123. “非遗进商场，手作快闪店”——非遗手作商场快闪的消费需求与购买意愿研究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研究对象：逛非遗手作快闪（商场/市集）的消费者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核心问题/变量：非遗快闪体验（手作/展演）、作品购买（漆器/竹编）、与景区非遗店对比、商场引流效果、复逛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H1：非遗快闪体验（手作/展演）、作品购买（漆器/竹编）显著影响复逛（待验证）；H2：不同人群（年龄/收入/城市等级）在上述关系中存在调节作用（待验证）。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🔶非遗传播与商业活化政策（文旅部）；🔶非遗进商场案例（须下载核验）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商场快闪现场问卷+主办方访谈；获奖黑名单核对：近三年无非遗快闪获奖题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🔶非遗传播与商业活化政策（文旅部）；🔶非遗进商场案例（须下载核验）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