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1124. “体育赛事观赛游，跟着比赛走”——球迷跨城观赛旅游的参与意愿与消费行为研究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研究对象：为看体育比赛（足球/篮球/排球）跨城观赛的球迷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核心问题/变量：观赛游动机（主队情结）、球票与差旅消费、主场氛围（客队区）、赛事+城市消费（美食）、复去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H1：观赛游动机（主队情结）、球票与差旅消费显著影响复去（待验证）；H2：不同人群（年龄/收入/城市等级）在上述关系中存在调节作用（待验证）。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🔶体育赛事经济政策（体育总局）；🔶观赛旅游数据（须下载核验）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赛场外问卷+票务平台访谈；获奖黑名单核对：近三年无观赛游获奖题（区别于234马拉松）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🔶体育赛事经济政策（体育总局）；🔶观赛旅游数据（须下载核验）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