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1127. “避暑康养旅居，候鸟式生活”——中老年避暑旅居消费偏好及复去意愿调查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研究对象：夏季避暑旅居（贵州/云南/东北）的中老年与家庭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核心问题/变量：避暑旅居选择（凉爽城市）、租房/民宿长住（1-3月）、避暑康养消费（饮食/体检）、避暑地产带动、复去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H1：避暑旅居选择（凉爽城市）、租房/民宿长住（1-3月）显著影响复去（待验证）；H2：不同人群（年龄/收入/城市等级）在上述关系中存在调节作用（待验证）。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🔶避暑旅游与旅居康养政策（文旅部、气象局）；🔶避暑旅居数据（须下载核验）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避暑城市长租社区问卷+旅居机构访谈；获奖黑名单核对：近三年无避暑旅居获奖题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🔶避暑旅游与旅居康养政策（文旅部、气象局）；🔶避暑旅居数据（须下载核验）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