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1128. “小城文旅局长，网红营销出圈”——游客对文旅局长短视频出圈的到访意愿及营销效果评价调查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研究对象：因文旅局长短视频出圈而关注/前往的游客与文旅局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核心问题/变量：局长出圈内容（变装/喊话）、流量转化到访、文旅营销成本与效果、过度营销争议、可持续性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H1：局长出圈内容（变装/喊话）、流量转化到访显著影响可持续性（待验证）；H2：不同人群（年龄/收入/城市等级）在上述关系中存在调节作用（待验证）。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🔶文旅新媒体营销政策（文旅部）；🔶局长出圈案例数据（须下载核验）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文旅局访谈+游客问卷；获奖黑名单核对：近三年无文旅局长营销获奖题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🔶文旅新媒体营销政策（文旅部）；🔶局长出圈案例数据（须下载核验）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