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1129. “边城微度假，县城酒店潮”——微度假游客县城品质酒店消费偏好及复住意愿调查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研究对象：入住县城品质酒店（连锁/民宿升级）的微度假游客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核心问题/变量：县城酒店选择（星级/连锁/民宿）、价格带（300-600）、县城游带动（夜市/景点）、酒店服务品质、复住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H1：县城酒店选择（星级/连锁/民宿）、价格带（300-600）显著影响复住（待验证）；H2：不同人群（年龄/收入/城市等级）在上述关系中存在调节作用（待验证）。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🔶县域旅游与住宿业政策（文旅部、商务部）；🔶县域酒店数据（OTA报告须下载核验）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县城酒店问卷+OTA数据；获奖黑名单核对：近三年无县城酒店获奖题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🔶县域旅游与住宿业政策（文旅部、商务部）；🔶县域酒店数据（OTA报告须下载核验）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