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1211. “演唱会经济，博物馆之城联动”——演唱会观众文旅联动需求与城市消费意愿研究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研究对象：因演唱会到访城市并顺带旅游（博物馆/景点）的观众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核心问题/变量：演唱会城市联动（观演+旅游）、演出前后城市消费（餐饮/住宿）、文旅套票合作、城市营销（演唱会之城）、复访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H1：演唱会城市联动（观演+旅游）、演出前后城市消费（餐饮/住宿）显著影响复访（待验证）；H2：不同人群（年龄/收入/城市等级）在上述关系中存在调节作用（待验证）。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🔶演出经济与文旅融合政策（文旅部）；🔶演唱会城市数据（须下载核验）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演出场馆外问卷+文旅部门访谈；获奖黑名单核对：近三年无演唱会+文旅联动获奖题（区别于76/77/347演出经济，聚焦城市营销视角）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🔶演出经济与文旅融合政策（文旅部）；🔶演唱会城市数据（须下载核验）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