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1212. “文物修复体验，我在故宫修文物2.0”——文物修复体验（研学）消费研究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研究对象：参加文物修复体验课程（博物馆/机构）的参与者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核心问题/变量：文物修复体验内容（陶瓷/书画/拓印）、课程费用（数百元）、科普价值、博物馆教育功能、复购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文物修复体验内容（陶瓷/书画/拓印）、课程费用（数百元）（复购）之间存在可检验的关系，且受群体差异（年龄/收入/地区/身份）调节（待验证）；H2：文物修复体验内容（陶瓷/书画/拓印）、课程费用（数百元）是影响复购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🔶文物活化利用政策（国家文物局）；🔶文博研学费数据（须下载核验）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博物馆渠道问卷+学员访谈；获奖黑名单核对：近三年无文物修复体验获奖题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🔶文物活化利用政策（国家文物局）；🔶文博研学费数据（须下载核验）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