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1215. “县域博物馆，小馆大藏”——居民县域博物馆参观需求与参与意愿研究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研究对象：参观县域博物馆（县级馆）的游客与居民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核心问题/变量：县域博物馆建设（文博热下沉）、馆藏特色（本地文物）、免费开放与讲解、亲子参观、县域文博带动、展陈升级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H1：县域博物馆建设（文博热下沉）、馆藏特色（本地文物）显著影响展陈升级（待验证）；H2：不同人群（年龄/收入/城市等级）在上述关系中存在调节作用（待验证）。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🔶博物馆改革发展政策（国家文物局、中宣部）；🔶县域博物馆数据（须下载核验）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县域博物馆渠道+观众问卷；获奖黑名单核对：近三年无县域博物馆获奖题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🔶博物馆改革发展政策（国家文物局、中宣部）；🔶县域博物馆数据（须下载核验）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