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1218. “非遗进景区，活态传承新打开方式”——游客景区非遗体验需求与文创消费意愿研究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研究对象：在景区体验非遗（驻场演出/手作工坊）的游客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核心问题/变量：非遗驻场（皮影/戏台）、非遗手作（编织/扎染）、非遗购物（文创/土特产）、传承人收入、景区流量带动、年轻游客兴趣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H1：非遗驻场（皮影/戏台）、非遗手作（编织/扎染）显著影响年轻游客兴趣（待验证）；H2：不同人群（年龄/收入/城市等级）在上述关系中存在调节作用（待验证）。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🔶非遗与旅游融合发展政策（文旅部）；🔶非遗进景区案例（须下载核验）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景区非遗点位问卷+传承人访谈；获奖黑名单核对：近三年无非遗进景区获奖题（区别于1123非遗快闪，聚焦景区驻场）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🔶非遗与旅游融合发展政策（文旅部）；🔶非遗进景区案例（须下载核验）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