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1219. “水上游船夜游，一江两岸灯火”——游客游船夜游体验满意度与复乘意愿研究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研究对象：乘坐城市游船夜游（珠江/黄浦江/两江）的游客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核心问题/变量：游船夜游选择（景观/美食）、票价档次（普通/高端）、夜景灯光体验、亲子/情侣场景、复乘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H1：游船夜游选择（景观/美食）、票价档次（普通/高端）显著影响复乘（待验证）；H2：不同人群（年龄/收入/城市等级）在上述关系中存在调节作用（待验证）。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🔶水上旅游客运规范（交通运输部）；🔶游船夜游数据（须下载核验）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码头渠道问卷+游船公司访谈；获奖黑名单核对：近三年无水上游船夜游获奖题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🔶水上旅游客运规范（交通运输部）；🔶游船夜游数据（须下载核验）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