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1220. “绿茶餐厅排队，旅游淡季不淡”——都市家庭周末微度假需求与消费意愿研究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研究对象：周末城市微度假（近郊/副中心）的都市家庭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核心问题/变量：微度假目的地（近郊度假村/副中心商圈）、周末两日游消费、亲子设施、工作日错峰、复去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H1：微度假目的地（近郊度假村/副中心商圈）、周末两日游消费显著影响复去（待验证）；H2：不同人群（年龄/收入/城市等级）在上述关系中存在调节作用（待验证）。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🔶城市微度假与近郊游政策（文旅部）；🔶微度假市场数据（须下载核验）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近郊度假地问卷+OTA数据；获奖黑名单核对：近三年无周末微度假获奖题（区别于686微度假泛题，聚焦近郊副中心）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🔶城市微度假与近郊游政策（文旅部）；🔶微度假市场数据（须下载核验）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