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1222. “演唱会开进县城，下沉演出潮”——县城观众下沉演出观演需求与消费意愿研究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建议地区：县城（可按省/市细化抽样框）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研究对象：参与县城/地级市演唱会（下沉场）的观众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核心问题/变量：演出下沉（县级场馆）、票价亲民（三线城市）、县城观演消费（餐饮住宿）、本地场馆运营、明星声量带动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演出下沉（县级场馆）、票价亲民（三线城市）（明星声量带动）之间存在可检验的关系，且受群体差异（年龄/收入/地区/身份）调节（待验证）；H2：演出下沉（县级场馆）、票价亲民（三线城市）是影响明星声量带动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🔶营业性演出下乡政策（文旅部）；🔶演出下沉数据（须下载核验）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县级场馆问卷+演出公司访谈；获奖黑名单核对：近三年无演出下沉获奖题（区别于77下沉演出泛题，聚焦县级）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🔶营业性演出下乡政策（文旅部）；🔶演出下沉数据（须下载核验）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