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1285. “博物馆数字展，沉浸式看展”——博物馆数字展观展需求与门票支付意愿调查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研究对象：参观博物馆数字沉浸展（光影/VR）的观众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核心问题/变量：数字展形式（全息/沉浸光影）、与传统展陈对比、门票价格（高于常展）、出片与体验、复看、科技与文物平衡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字展形式（全息/沉浸光影）、与传统展陈对比（科技与文物平衡）之间存在可检验的关系，且受群体差异（年龄/收入/地区/身份）调节（待验证）；H2：数字展形式（全息/沉浸光影）、与传统展陈对比是影响科技与文物平衡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🔶博物馆数字化与科技赋能政策（国家文物局）；🔶数字文博展数据（须下载核验）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博物馆渠道+观众问卷；获奖黑名单核对：近三年无博物馆数字展获奖题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🔶博物馆数字化与科技赋能政策（国家文物局）；🔶数字文博展数据（须下载核验）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