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1289. “康养旅居地产，买不买”——康养旅居地产购买意愿与决策影响因素调查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研究对象：考虑购买康养旅居地产（养老房/避暑房）的中老年家庭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核心问题/变量：康养地产购买（环境/医养配套）、价格与产权（旅居卡）、烂尾风险（民营暴雷）、服务运营（物业/医疗）、转卖难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H1：康养地产购买（环境/医养配套）、价格与产权（旅居卡）显著影响转卖难（待验证）；H2：不同人群（年龄/收入/城市等级）在上述关系中存在调节作用（待验证）。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🔶养老地产与康养产业政策（民政部、住建部）；🔶康养地产风险数据（须下载核验）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康养社区渠道+意向客户问卷；获奖黑名单核对：近三年无康养旅居地产获奖题（区别于1127避暑旅居，聚焦地产购买决策）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🔶养老地产与康养产业政策（民政部、住建部）；🔶康养地产风险数据（须下载核验）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