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133. “进厂游，探秘生产线”——工业旅游、工厂开放参观参与动机与满意度研究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研究对象：参加过工厂参观/工业研学（汽水厂/汽车厂/火箭工厂等）的游客或家长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核心问题/变量：参与动机（科普/亲子/网红打卡）、参观体验、消费支出（门票/伴手礼）、满意度、推荐意愿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H1：参与动机（科普/亲子/网红打卡）、参观体验显著影响推荐意愿（待验证）；H2：不同人群（年龄/收入/城市等级）在上述关系中存在调节作用（待验证）。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✅文旅部、工信部等七部门2026年5月《关于弘扬工业文化保护工业遗产发展工业旅游的通知》；✅2026暑期"工厂类"旅行产品预订热度同比增超三成；✅首钢园2025年客流量1438万人次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开放工厂/工业旅游基地现场问卷+旅行社渠道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✅文旅部、工信部等七部门2026年5月《关于弘扬工业文化保护工业遗产发展工业旅游的通知》；✅2026暑期"工厂类"旅行产品预订热度同比增超三成；✅首钢园2025年客流量1438万人次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