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135. “老厂房再生，文创新生”——工业遗产改造文创园消费行为与复访意愿研究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建议地区：北京（可按省/市细化抽样框）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研究对象：到访过老厂房改造文创园（北京798/首钢园/沈阳1905/东郊记忆等）的消费者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核心问题/变量：打卡动机、业态消费（餐饮/剧场/市集）、文化感知、停留时长、复访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H1：打卡动机、业态消费（餐饮/剧场/市集）显著影响复访（待验证）；H2：不同人群（年龄/收入/城市等级）在上述关系中存在调节作用（待验证）。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✅首钢园1438万人次/年；✅成都东郊记忆集聚330余家商企；✅沈阳1905文创园保留钢架天吊、聚集独立书店手作工坊；✅全国142家国家工业旅游示范基地、264项国家工业遗产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文创园现场+社交媒体打卡数据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✅首钢园1438万人次/年；✅成都东郊记忆集聚330余家商企；✅沈阳1905文创园保留钢架天吊、聚集独立书店手作工坊；✅全国142家国家工业旅游示范基地、264项国家工业遗产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