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1376. “县域文旅局长请战，反向旅游热”——反向旅游（县域冷门目的地）出游动机与消费意愿调查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研究对象：选择反向旅游（冷门县域/小众城市）的游客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核心问题/变量：反向旅游动机（避开人潮/性价比）、小众目的地（县域爆火）、体验优势（不挤/原生态）、住宿物价、复访、带动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H1：反向旅游动机（避开人潮/性价比）、小众目的地（县域爆火）显著影响带动（待验证）；H2：不同人群（年龄/收入/城市等级）在上述关系中存在调节作用（待验证）。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🔶县域旅游与消费促进政策（文旅部）；🔶反向旅游数据（须下载核验）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县域景区问卷+文旅局访谈；获奖黑名单核对：近三年无反向旅游获奖题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🔶县域旅游与消费促进政策（文旅部）；🔶反向旅游数据（须下载核验）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