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1380. “县城图书馆，文化打卡新地标”——县域公共文化场馆（图书馆、文化馆）使用需求与参与意愿调查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研究对象：使用县域公共文化场馆（图书馆/美术馆/文化馆）的读者与观众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核心问题/变量：县域场馆建设（新馆/地标建筑）、免费开放（自习/借阅）、活动（讲座/展览）、县城文化消费（打卡）、运营维护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场馆建设（新馆/地标建筑）、免费开放（自习/借阅）（运营维护）之间存在可检验的关系，且受群体差异（年龄/收入/地区/身份）调节（待验证）；H2：县域场馆建设（新馆/地标建筑）、免费开放（自习/借阅）是影响运营维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🔶公共文化服务与县域文化场馆政策（文旅部）；🔶县域场馆数据（须下载核验）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县域场馆问卷+文旅局访谈；获奖黑名单核对：近三年无县域文化场馆获奖题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🔶公共文化服务与县域文化场馆政策（文旅部）；🔶县域场馆数据（须下载核验）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