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139. “年轻人在上班与上进间选择上香”——寺庙上香消费动机与再访意愿研究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研究对象：近一年去过寺庙/上香/参与祈福的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核心问题/变量：出行动机（解压/求签/打卡/文化）、消费项目（门票/香火/法物/餐饮）、情绪收益、再访意愿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H1：出行动机（解压/求签/打卡/文化）、消费项目（门票/香火/法物/餐饮）显著影响再访意愿（待验证）；H2：不同人群（年龄/收入/城市等级）在上述关系中存在调节作用（待验证）。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✅寺庙经济2025年1000亿级、常年10%增速（媒体测算🔶）；✅2026上半年寺庙游客18—35岁占比近六成；✅抖音"寺庙"搜索指数年增超586%、90后00后占预订近50%（携程/平台）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寺庙景区/地铁口寺庙商圈现场问卷+线上社群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✅寺庙经济2025年1000亿级、常年10%增速（媒体测算🔶）；✅2026上半年寺庙游客18—35岁占比近六成；✅抖音"寺庙"搜索指数年增超586%、90后00后占预订近50%（携程/平台）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