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140. “祈福手串，好运UP”——寺庙祈福文创消费行为与复购意愿研究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研究对象：购买过寺庙/玄学系文创（雍和宫手串、慈悲咖啡杯套等）的年轻人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核心问题/变量：购买动机（好运心理/收藏/送礼）、价格接受、复购、社交分享、"玄学消费"态度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H1：购买动机（好运心理/收藏/送礼）、价格接受显著影响"玄学消费"态度（待验证）；H2：不同人群（年龄/收入/城市等级）在上述关系中存在调节作用（待验证）。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✅"祈福经济/玄学经济"扩展为法物购买等综合消费（百度百科）；✅雍和宫手串等祈福潮流现象（媒体）；✅情绪经济27186亿元（情绪消费大背景）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寺庙文创店/相关电商渠道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✅"祈福经济/玄学经济"扩展为法物购买等综合消费（百度百科）；✅雍和宫手串等祈福潮流现象（媒体）；✅情绪经济27186亿元（情绪消费大背景）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