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141. “寺庙咖啡，禅意一杯”——寺庙咖啡馆打卡动机与消费体验研究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建议地区：杭州（可按省/市细化抽样框）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研究对象：去过寺庙咖啡馆（如永福寺慈杯咖啡等）的消费者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核心问题/变量：打卡动机（反差感/禅意）、产品与氛围体验、消费金额、分享传播、复购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H1：打卡动机（反差感/禅意）、产品与氛围体验显著影响复购（待验证）；H2：不同人群（年龄/收入/城市等级）在上述关系中存在调节作用（待验证）。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🔶"寺庙+咖啡"为新消费现象（媒体多次报道，如杭州永福寺"慈杯"咖啡，需引原文）；✅寺庙经济与年轻化消费背景；✅咖啡市场2025年3549亿元（第二批已核验）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网红寺庙咖啡门店现场问卷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🔶"寺庙+咖啡"为新消费现象（媒体多次报道，如杭州永福寺"慈杯"咖啡，需引原文）；✅寺庙经济与年轻化消费背景；✅咖啡市场2025年3549亿元（第二批已核验）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