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143. “Citywalk，用脚步认识一座城”——城市漫步消费行为与街区小店带动效应感知研究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 岁城市居民、游客中的 Citywalk 参与者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核心问题/变量：参与频次与路线选择、动机（慢节奏/深度体验/社交打卡）、单次消费结构（餐饮、小店、文创）、对街区/小店经济的带动、复游意愿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H1：参与频次与路线选择、动机（慢节奏/深度体验/社交打卡）显著影响复游意愿（待验证）；H2：不同人群（年龄/收入/城市等级）在上述关系中存在调节作用（待验证）。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✅Citywalk 热度与城市漫步数据（权威媒体、平台年度报告）；🔶街区漫步消费报告（须下载核验）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社交平台招募+城市漫步社群问卷；与238（周末微度假）区分：聚焦步行深度游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✅Citywalk 热度与城市漫步数据（权威媒体、平台年度报告）；🔶街区漫步消费报告（须下载核验）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