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144. “寺庙游热，是解压还是盲从”——青年寺庙消费的理性与情绪边界研究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研究对象：18—35岁参与过或关注寺庙消费的青年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核心问题/变量：消费理性、情绪价值、跟风心理、文化认同、消费观反思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H1：消费理性、情绪价值（消费观反思）之间存在可检验的关系，且受群体差异（年龄/收入/地区/身份）调节（待验证）；H2：消费理性、情绪价值是影响消费观反思的关键因素（待验证）。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✅寺庙经济10%增速vs情绪经济4万亿背景；🔶"上香还是信仰"社会讨论（搜狐等媒体观点文章，需引原文）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线上问卷+焦点小组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✅寺庙经济10%增速vs情绪经济4万亿背景；🔶"上香还是信仰"社会讨论（搜狐等媒体观点文章，需引原文）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