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209. “景区NPC，实景游戏”——景区实景游戏、NPC互动（大唐不夜城式）消费体验研究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研究对象：体验过沉浸式剧场或密室/剧本杀的 18—35 岁消费者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核心问题/变量：体验动机（代入感/社交/解压）、人均消费、复购、题材偏好、满意度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H1：体验动机（代入感/社交/解压）、人均消费显著影响满意度（待验证）；H2：不同人群（年龄/收入/城市等级）在上述关系中存在调节作用（待验证）。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🔶沉浸式文旅市场规模（行业报告需核验）；✅演出市场304亿元大盘（第三批已核验）；✅文旅部支持沉浸式业态（政策背景）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沉浸式剧场/密室门店渠道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🔶沉浸式文旅市场规模（行业报告需核验）；✅演出市场304亿元大盘（第三批已核验）；✅文旅部支持沉浸式业态（政策背景）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