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227. “博物馆文创，带回家”——博物馆文创产品的购买动机与复购意愿研究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研究对象：购买过博物馆文创（故宫/三星堆/省博）的游客或爱好者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核心问题/变量：购买动机（纪念/送礼/IP热爱）、品类偏好（冰箱贴/盲盒/服饰）、价格接受、复购、文创IP认同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H1：购买动机（纪念/送礼/IP热爱）、品类偏好（冰箱贴/盲盒/服饰）显著影响文创IP认同（待验证）；H2：不同人群（年龄/收入/城市等级）在上述关系中存在调节作用（待验证）。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🔶博物馆文创市场规模（行业报告需核验）；✅文博游热潮（第三批研学/文博数据背景）；✅故宫/三星堆文创现象级案例（媒体）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博物馆文创店现场+线上社群；与109题（夜游）区分：聚焦文创商品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🔶博物馆文创市场规模（行业报告需核验）；✅文博游热潮（第三批研学/文博数据背景）；✅故宫/三星堆文创现象级案例（媒体）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